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20"/>
        <w:jc w:val="right"/>
        <w:rPr/>
      </w:pPr>
      <w:r>
        <w:rPr>
          <w:color w:val="000000"/>
          <w:kern w:val="2"/>
          <w:szCs w:val="28"/>
        </w:rPr>
        <w:t>Приложение 1</w:t>
      </w:r>
    </w:p>
    <w:p>
      <w:pPr>
        <w:pStyle w:val="Normal"/>
        <w:ind w:firstLine="720"/>
        <w:jc w:val="center"/>
        <w:rPr>
          <w:color w:val="000000"/>
          <w:kern w:val="2"/>
          <w:szCs w:val="28"/>
        </w:rPr>
      </w:pPr>
      <w:r>
        <w:rPr>
          <w:color w:val="000000"/>
          <w:kern w:val="2"/>
          <w:szCs w:val="28"/>
        </w:rPr>
      </w:r>
    </w:p>
    <w:p>
      <w:pPr>
        <w:pStyle w:val="Normal"/>
        <w:ind w:firstLine="720"/>
        <w:jc w:val="center"/>
        <w:rPr/>
      </w:pPr>
      <w:r>
        <w:rPr>
          <w:color w:val="000000"/>
          <w:kern w:val="2"/>
          <w:szCs w:val="28"/>
        </w:rPr>
        <w:t>Алгоритм действий должностных лиц организаций, органов местного самоуправления при планировании проведения профилактического выжигания сухой травянистой растительности.</w:t>
      </w:r>
    </w:p>
    <w:p>
      <w:pPr>
        <w:pStyle w:val="Normal"/>
        <w:ind w:firstLine="720"/>
        <w:jc w:val="both"/>
        <w:rPr>
          <w:color w:val="000000"/>
        </w:rPr>
      </w:pPr>
      <w:r>
        <w:rPr>
          <w:color w:val="000000"/>
        </w:rPr>
      </w:r>
    </w:p>
    <w:p>
      <w:pPr>
        <w:pStyle w:val="Normal"/>
        <w:ind w:firstLine="720"/>
        <w:jc w:val="both"/>
        <w:rPr>
          <w:kern w:val="2"/>
          <w:szCs w:val="28"/>
        </w:rPr>
      </w:pPr>
      <w:r>
        <w:rPr>
          <w:kern w:val="2"/>
          <w:szCs w:val="28"/>
        </w:rPr>
      </w:r>
    </w:p>
    <w:p>
      <w:pPr>
        <w:pStyle w:val="Normal"/>
        <w:spacing w:lineRule="auto" w:line="276"/>
        <w:ind w:firstLine="720" w:left="0"/>
        <w:jc w:val="both"/>
        <w:rPr/>
      </w:pPr>
      <w:r>
        <w:rPr>
          <w:kern w:val="2"/>
          <w:sz w:val="28"/>
          <w:szCs w:val="28"/>
        </w:rPr>
        <w:t xml:space="preserve">С целью исключения возможности перехода огня на лесные насаждения, торфяники, населенные пункты, объекты инфраструктуры, возможно проведение профилактического выжигания сухой травянистой растительности, при отсутствии других доступных способов очистки земель руководителем организации (органа местного самоуправления) принимается решение о проведении профилактического выжигания. </w:t>
      </w:r>
    </w:p>
    <w:p>
      <w:pPr>
        <w:pStyle w:val="Normal"/>
        <w:spacing w:lineRule="auto" w:line="276"/>
        <w:ind w:firstLine="720" w:left="0"/>
        <w:jc w:val="both"/>
        <w:rPr/>
      </w:pPr>
      <w:r>
        <w:rPr>
          <w:kern w:val="2"/>
          <w:sz w:val="28"/>
          <w:szCs w:val="28"/>
        </w:rPr>
        <w:t>В целях организации планирования и учета проведения выжигания сухой травянистой растительности Главами муниципальных образований (органов местного самоуправления) определяются наиболее пожароопасные участки местности, организации и учреждения подверженные угрозе природных пожаров и составляется график проведения работ по выжиганию сухой растительности на территории муниципального образования.</w:t>
      </w:r>
    </w:p>
    <w:p>
      <w:pPr>
        <w:pStyle w:val="Normal"/>
        <w:spacing w:lineRule="auto" w:line="276"/>
        <w:ind w:firstLine="720" w:left="0"/>
        <w:jc w:val="both"/>
        <w:rPr/>
      </w:pPr>
      <w:r>
        <w:rPr>
          <w:kern w:val="2"/>
          <w:szCs w:val="28"/>
        </w:rPr>
        <w:t xml:space="preserve">При планировании проведения выжигания сухой травянистой растительности, должностные лица проводящие выжигание должны принять меры по приведению местности на которой планируется работы в соответствие  с </w:t>
      </w:r>
      <w:r>
        <w:rPr>
          <w:kern w:val="2"/>
          <w:sz w:val="28"/>
          <w:szCs w:val="28"/>
        </w:rPr>
        <w:t>Требованиями пунктов 63, 185 Правил противопожарного режима в Российской Федерации, утвержденных постановлением Правительства Российской Федерации от 16 сентября 2020 года № 1479.</w:t>
      </w:r>
    </w:p>
    <w:p>
      <w:pPr>
        <w:pStyle w:val="Normal"/>
        <w:spacing w:lineRule="auto" w:line="252"/>
        <w:ind w:firstLine="567" w:right="57"/>
        <w:jc w:val="both"/>
        <w:rPr>
          <w:rFonts w:ascii="Times New Roman" w:hAnsi="Times New Roman"/>
          <w:sz w:val="28"/>
          <w:szCs w:val="28"/>
        </w:rPr>
      </w:pPr>
      <w:r>
        <w:rPr>
          <w:sz w:val="28"/>
          <w:szCs w:val="28"/>
        </w:rPr>
        <w:t>Основанием для п</w:t>
      </w:r>
      <w:r>
        <w:rPr>
          <w:sz w:val="28"/>
          <w:szCs w:val="28"/>
        </w:rPr>
        <w:t>риняти</w:t>
      </w:r>
      <w:r>
        <w:rPr>
          <w:sz w:val="28"/>
          <w:szCs w:val="28"/>
        </w:rPr>
        <w:t>я</w:t>
      </w:r>
      <w:r>
        <w:rPr>
          <w:sz w:val="28"/>
          <w:szCs w:val="28"/>
        </w:rPr>
        <w:t xml:space="preserve"> решения о проведении выжигания сухой травянистой растительности </w:t>
      </w:r>
      <w:r>
        <w:rPr>
          <w:sz w:val="28"/>
          <w:szCs w:val="28"/>
        </w:rPr>
        <w:t>является распорядительный нормативно - правовой акт Главы муниципального образования (органа местного самоуправления), руководителя организации (учреждения), в котором определяются</w:t>
      </w:r>
      <w:r>
        <w:rPr>
          <w:sz w:val="28"/>
          <w:szCs w:val="28"/>
        </w:rPr>
        <w:t xml:space="preserve"> лиц</w:t>
      </w:r>
      <w:r>
        <w:rPr>
          <w:sz w:val="28"/>
          <w:szCs w:val="28"/>
        </w:rPr>
        <w:t>а</w:t>
      </w:r>
      <w:r>
        <w:rPr>
          <w:sz w:val="28"/>
          <w:szCs w:val="28"/>
        </w:rPr>
        <w:t xml:space="preserve">, ответственных за выжигание, </w:t>
      </w:r>
      <w:r>
        <w:rPr>
          <w:sz w:val="28"/>
          <w:szCs w:val="28"/>
        </w:rPr>
        <w:t>места,</w:t>
      </w:r>
      <w:r>
        <w:rPr>
          <w:sz w:val="28"/>
          <w:szCs w:val="28"/>
        </w:rPr>
        <w:t xml:space="preserve"> </w:t>
      </w:r>
      <w:r>
        <w:rPr>
          <w:sz w:val="28"/>
          <w:szCs w:val="28"/>
        </w:rPr>
        <w:t>порядок и сроки проведения выжигания, количество и вид привлекаемой техники, количество задействованных людей</w:t>
      </w:r>
      <w:r>
        <w:rPr>
          <w:sz w:val="28"/>
          <w:szCs w:val="28"/>
        </w:rPr>
        <w:t xml:space="preserve">. </w:t>
      </w:r>
    </w:p>
    <w:p>
      <w:pPr>
        <w:pStyle w:val="Normal"/>
        <w:spacing w:lineRule="auto" w:line="252"/>
        <w:ind w:firstLine="567" w:right="57"/>
        <w:jc w:val="both"/>
        <w:rPr>
          <w:b w:val="false"/>
          <w:bCs w:val="false"/>
          <w:color w:val="000000"/>
        </w:rPr>
      </w:pPr>
      <w:r>
        <w:rPr>
          <w:b w:val="false"/>
          <w:bCs w:val="false"/>
          <w:color w:val="000000"/>
          <w:sz w:val="28"/>
          <w:szCs w:val="28"/>
        </w:rPr>
        <w:t>Порядок, организация и требования к проведению работ по выжиганию сухой травянистой растительности:</w:t>
      </w:r>
    </w:p>
    <w:p>
      <w:pPr>
        <w:pStyle w:val="Normal"/>
        <w:spacing w:lineRule="auto" w:line="252"/>
        <w:ind w:firstLine="567" w:right="57"/>
        <w:jc w:val="both"/>
        <w:rPr>
          <w:rFonts w:ascii="Times New Roman" w:hAnsi="Times New Roman"/>
          <w:sz w:val="28"/>
          <w:szCs w:val="28"/>
        </w:rPr>
      </w:pPr>
      <w:r>
        <w:rPr>
          <w:sz w:val="28"/>
          <w:szCs w:val="28"/>
        </w:rPr>
        <w:t>- руководитель организации, производящей профилактическое выжигание, обеспечивает в процессе проведения работ исправное техническое состояние пожарных автомобилей, иной техники, а также средств тушения пожара;</w:t>
      </w:r>
    </w:p>
    <w:p>
      <w:pPr>
        <w:pStyle w:val="Normal"/>
        <w:spacing w:lineRule="auto" w:line="252"/>
        <w:ind w:firstLine="567" w:right="57"/>
        <w:jc w:val="both"/>
        <w:rPr>
          <w:rFonts w:ascii="Times New Roman" w:hAnsi="Times New Roman"/>
          <w:sz w:val="28"/>
          <w:szCs w:val="28"/>
        </w:rPr>
      </w:pPr>
      <w:r>
        <w:rPr>
          <w:sz w:val="28"/>
          <w:szCs w:val="28"/>
        </w:rPr>
        <w:t xml:space="preserve">- работники, производящие выжигание, допускаются к работам только после прохождения обучения мерам пожарной безопасности и прохождения противопожарного инструктажа; </w:t>
      </w:r>
    </w:p>
    <w:p>
      <w:pPr>
        <w:pStyle w:val="Normal"/>
        <w:spacing w:lineRule="auto" w:line="252"/>
        <w:ind w:firstLine="567" w:right="57"/>
        <w:jc w:val="both"/>
        <w:rPr>
          <w:rFonts w:ascii="Times New Roman" w:hAnsi="Times New Roman"/>
          <w:sz w:val="28"/>
          <w:szCs w:val="28"/>
        </w:rPr>
      </w:pPr>
      <w:r>
        <w:rPr>
          <w:sz w:val="28"/>
          <w:szCs w:val="28"/>
        </w:rPr>
        <w:t xml:space="preserve">- организация работ должна обеспечивать непрерывный осмотр пройденной огнем площади участка с целью предотвратить его распространение; </w:t>
      </w:r>
    </w:p>
    <w:p>
      <w:pPr>
        <w:pStyle w:val="Normal"/>
        <w:spacing w:lineRule="auto" w:line="252"/>
        <w:ind w:firstLine="567" w:right="57"/>
        <w:jc w:val="both"/>
        <w:rPr>
          <w:rFonts w:ascii="Times New Roman" w:hAnsi="Times New Roman"/>
          <w:sz w:val="28"/>
          <w:szCs w:val="28"/>
        </w:rPr>
      </w:pPr>
      <w:r>
        <w:rPr>
          <w:sz w:val="28"/>
          <w:szCs w:val="28"/>
        </w:rPr>
        <w:t>- с началом работ обеспечивается присутствие уполномоченных представителей собственника или пользователя земельного участка, где производится выжигание растительности, в течении всего времени проведения работ;</w:t>
      </w:r>
    </w:p>
    <w:p>
      <w:pPr>
        <w:pStyle w:val="Normal"/>
        <w:spacing w:lineRule="auto" w:line="252"/>
        <w:ind w:firstLine="567" w:right="57"/>
        <w:jc w:val="both"/>
        <w:rPr>
          <w:rFonts w:ascii="Times New Roman" w:hAnsi="Times New Roman"/>
          <w:sz w:val="28"/>
          <w:szCs w:val="28"/>
        </w:rPr>
      </w:pPr>
      <w:r>
        <w:rPr>
          <w:sz w:val="28"/>
          <w:szCs w:val="28"/>
        </w:rPr>
        <w:t>- после завершения выжигания должен вестись контрольный обход участка по внешней его границе с целью выявления и тушения оставшихся очагов горения, в том числе в присутствии участвующих сотрудников (работников) пожарной охраны. Особое внимание при обходе должно быть уделено границе выжигания с подветренной стороны.</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Профилактические выжигания проводятся в равнинных условиях и только на границах противопожарных барьеров, в качестве которых могут использоваться защитные минерализованные полосы или естественные преграды, в качестве которых могут выступать дороги, ручьи, реки, просеки.</w:t>
      </w:r>
    </w:p>
    <w:p>
      <w:pPr>
        <w:pStyle w:val="Normal"/>
        <w:spacing w:lineRule="auto" w:line="252"/>
        <w:ind w:firstLine="567" w:right="57"/>
        <w:jc w:val="both"/>
        <w:rPr>
          <w:b/>
          <w:bCs/>
        </w:rPr>
      </w:pPr>
      <w:r>
        <w:rPr>
          <w:b/>
          <w:bCs/>
          <w:sz w:val="28"/>
          <w:szCs w:val="28"/>
        </w:rPr>
        <w:t>Перечень технических средств снаряжения, используемых при проведении профилактических выжиганий должен включать:</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основную пожарную либо приспособленную технику;</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землеройную технику;</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индивидуальные ручные средства, используемые для зажигания;</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средства связи;</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средства для создания преград распространения огня и для его тушения в случае угрозы выхода профилактического выжигания из-под контроля;</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другие виды пожарной техники, средств тушения пожара, оборудования, пожарного снаряжения, возможные для использования в соответствии с местными условиями.</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xml:space="preserve">Участок земли, на котором запланировано выжигание сухой травянистой растительности, делится на блоки, площадь блока не должна превышать 0,5 Га, при этом: </w:t>
      </w:r>
    </w:p>
    <w:p>
      <w:pPr>
        <w:pStyle w:val="Normal"/>
        <w:spacing w:lineRule="auto" w:line="252"/>
        <w:ind w:firstLine="567" w:right="57"/>
        <w:jc w:val="both"/>
        <w:rPr>
          <w:rFonts w:ascii="Times New Roman" w:hAnsi="Times New Roman"/>
          <w:b w:val="false"/>
          <w:bCs w:val="false"/>
          <w:sz w:val="28"/>
          <w:szCs w:val="28"/>
        </w:rPr>
      </w:pPr>
      <w:r>
        <w:rPr>
          <w:b w:val="false"/>
          <w:bCs w:val="false"/>
          <w:sz w:val="28"/>
          <w:szCs w:val="28"/>
        </w:rPr>
        <w:t>- по всем сторонам каждого блока должны быть предусмотрены непрерывные противопожарные барьеры шириной не менее 2 метров;</w:t>
      </w:r>
    </w:p>
    <w:p>
      <w:pPr>
        <w:pStyle w:val="Normal"/>
        <w:spacing w:lineRule="auto" w:line="252"/>
        <w:ind w:firstLine="567" w:right="57"/>
        <w:jc w:val="both"/>
        <w:rPr>
          <w:rFonts w:ascii="Times New Roman" w:hAnsi="Times New Roman"/>
          <w:b w:val="false"/>
          <w:bCs w:val="false"/>
          <w:sz w:val="28"/>
          <w:szCs w:val="28"/>
        </w:rPr>
      </w:pPr>
      <w:r>
        <w:rPr>
          <w:b w:val="false"/>
          <w:bCs w:val="false"/>
          <w:kern w:val="2"/>
          <w:sz w:val="28"/>
          <w:szCs w:val="28"/>
        </w:rPr>
        <w:t>- обеспечена достаточная численность работников бригад организации, осуществляющей выжигание (не менее 5 человек на каждый блок, подвергаемый выжиганию), с необходимым количеством средств пожаротушения, пожарной, землеройной и вспомогательной техникой.</w:t>
      </w:r>
    </w:p>
    <w:p>
      <w:pPr>
        <w:pStyle w:val="Normal"/>
        <w:spacing w:lineRule="auto" w:line="252"/>
        <w:ind w:firstLine="567" w:right="57"/>
        <w:jc w:val="both"/>
        <w:rPr>
          <w:rFonts w:ascii="Times New Roman" w:hAnsi="Times New Roman"/>
          <w:b w:val="false"/>
          <w:bCs w:val="false"/>
          <w:sz w:val="28"/>
          <w:szCs w:val="28"/>
        </w:rPr>
      </w:pPr>
      <w:r>
        <w:rPr>
          <w:b w:val="false"/>
          <w:bCs w:val="false"/>
          <w:kern w:val="2"/>
          <w:sz w:val="28"/>
          <w:szCs w:val="28"/>
        </w:rPr>
        <w:t>Ответственные должностные лица за приведение выжигания должны в срок не менее чем за 2 рабочих дня письменно уведомить территориальное подразделение пожарной охраны о месте, дате, времени начала и окончания работ и принятых мерах безопасности при их проведении, ответственных должностных лиц и их телефоны, количестве работников задействованных при проведении работ, количестве и вид техники привлекаемой техники, планируемой для выжигания пощади.</w:t>
      </w:r>
    </w:p>
    <w:p>
      <w:pPr>
        <w:pStyle w:val="Normal"/>
        <w:spacing w:lineRule="auto" w:line="252"/>
        <w:ind w:firstLine="567" w:right="57"/>
        <w:jc w:val="both"/>
        <w:rPr>
          <w:rFonts w:ascii="Times New Roman" w:hAnsi="Times New Roman"/>
          <w:b w:val="false"/>
          <w:bCs w:val="false"/>
          <w:sz w:val="28"/>
          <w:szCs w:val="28"/>
        </w:rPr>
      </w:pPr>
      <w:r>
        <w:rPr>
          <w:b w:val="false"/>
          <w:bCs w:val="false"/>
          <w:kern w:val="2"/>
          <w:sz w:val="28"/>
          <w:szCs w:val="28"/>
        </w:rPr>
        <w:t>Территориальное подразделение пожарной охраны получившее уведомление о проведении работ по выжиганию, формируют сведения в соответствии с приложением. При  отсутствии  пожарной или иной приспособленной техники для целей пожаротушения на месте проведения работ, начальником соответствующего гарнизона принимается решение о направлении  на период проведения работ, имеющейся пожарной техники гарнизона.</w:t>
      </w:r>
    </w:p>
    <w:sectPr>
      <w:type w:val="nextPage"/>
      <w:pgSz w:w="11906" w:h="16838"/>
      <w:pgMar w:left="1418" w:right="567" w:gutter="0" w:header="0" w:top="854" w:footer="0" w:bottom="961"/>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PT Sans">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41efa"/>
    <w:pPr>
      <w:widowControl/>
      <w:suppressAutoHyphens w:val="true"/>
      <w:bidi w:val="0"/>
      <w:spacing w:before="0" w:after="0"/>
      <w:jc w:val="left"/>
    </w:pPr>
    <w:rPr>
      <w:rFonts w:ascii="Times New Roman" w:hAnsi="Times New Roman" w:eastAsia="" w:cs="" w:cstheme="minorBidi" w:eastAsiaTheme="minorEastAsia"/>
      <w:color w:val="auto"/>
      <w:kern w:val="0"/>
      <w:sz w:val="28"/>
      <w:szCs w:val="22"/>
      <w:lang w:val="ru-RU" w:eastAsia="ru-RU" w:bidi="ar-SA"/>
    </w:rPr>
  </w:style>
  <w:style w:type="paragraph" w:styleId="Heading2">
    <w:name w:val="Heading 2"/>
    <w:basedOn w:val="Normal"/>
    <w:next w:val="Normal"/>
    <w:link w:val="2"/>
    <w:qFormat/>
    <w:rsid w:val="00617104"/>
    <w:pPr>
      <w:keepNext w:val="true"/>
      <w:widowControl w:val="false"/>
      <w:jc w:val="center"/>
      <w:outlineLvl w:val="1"/>
    </w:pPr>
    <w:rPr>
      <w:rFonts w:eastAsia="Times New Roman" w:cs="Times New Roman"/>
      <w:sz w:val="24"/>
      <w:szCs w:val="20"/>
      <w:u w:val="single"/>
    </w:rPr>
  </w:style>
  <w:style w:type="paragraph" w:styleId="Heading3">
    <w:name w:val="Heading 3"/>
    <w:basedOn w:val="Normal"/>
    <w:next w:val="Normal"/>
    <w:link w:val="3"/>
    <w:qFormat/>
    <w:rsid w:val="00617104"/>
    <w:pPr>
      <w:keepNext w:val="true"/>
      <w:jc w:val="center"/>
      <w:outlineLvl w:val="2"/>
    </w:pPr>
    <w:rPr>
      <w:rFonts w:eastAsia="Times New Roman" w:cs="Times New Roman"/>
      <w:b/>
      <w:sz w:val="18"/>
      <w:szCs w:val="20"/>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uiPriority w:val="99"/>
    <w:semiHidden/>
    <w:qFormat/>
    <w:rsid w:val="00f41efa"/>
    <w:rPr>
      <w:rFonts w:ascii="Tahoma" w:hAnsi="Tahoma" w:cs="Tahoma"/>
      <w:sz w:val="16"/>
      <w:szCs w:val="16"/>
    </w:rPr>
  </w:style>
  <w:style w:type="character" w:styleId="Style13" w:customStyle="1">
    <w:name w:val="Верхний колонтитул Знак"/>
    <w:basedOn w:val="DefaultParagraphFont"/>
    <w:uiPriority w:val="99"/>
    <w:qFormat/>
    <w:rsid w:val="00893d93"/>
    <w:rPr>
      <w:rFonts w:ascii="Times New Roman" w:hAnsi="Times New Roman"/>
      <w:sz w:val="28"/>
    </w:rPr>
  </w:style>
  <w:style w:type="character" w:styleId="Style14" w:customStyle="1">
    <w:name w:val="Нижний колонтитул Знак"/>
    <w:basedOn w:val="DefaultParagraphFont"/>
    <w:qFormat/>
    <w:rsid w:val="00893d93"/>
    <w:rPr>
      <w:rFonts w:ascii="Times New Roman" w:hAnsi="Times New Roman"/>
      <w:sz w:val="28"/>
    </w:rPr>
  </w:style>
  <w:style w:type="character" w:styleId="PlaceholderText">
    <w:name w:val="Placeholder Text"/>
    <w:basedOn w:val="DefaultParagraphFont"/>
    <w:uiPriority w:val="99"/>
    <w:semiHidden/>
    <w:qFormat/>
    <w:rsid w:val="000b1ed1"/>
    <w:rPr>
      <w:color w:val="808080"/>
    </w:rPr>
  </w:style>
  <w:style w:type="character" w:styleId="2" w:customStyle="1">
    <w:name w:val="Заголовок 2 Знак"/>
    <w:basedOn w:val="DefaultParagraphFont"/>
    <w:qFormat/>
    <w:rsid w:val="00617104"/>
    <w:rPr>
      <w:rFonts w:ascii="Times New Roman" w:hAnsi="Times New Roman" w:eastAsia="Times New Roman" w:cs="Times New Roman"/>
      <w:sz w:val="24"/>
      <w:szCs w:val="20"/>
      <w:u w:val="single"/>
    </w:rPr>
  </w:style>
  <w:style w:type="character" w:styleId="3" w:customStyle="1">
    <w:name w:val="Заголовок 3 Знак"/>
    <w:basedOn w:val="DefaultParagraphFont"/>
    <w:qFormat/>
    <w:rsid w:val="00617104"/>
    <w:rPr>
      <w:rFonts w:ascii="Times New Roman" w:hAnsi="Times New Roman" w:eastAsia="Times New Roman" w:cs="Times New Roman"/>
      <w:b/>
      <w:sz w:val="18"/>
      <w:szCs w:val="20"/>
    </w:rPr>
  </w:style>
  <w:style w:type="character" w:styleId="Style15">
    <w:name w:val="Символ нумерации"/>
    <w:qFormat/>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rsid w:val="00c86a98"/>
    <w:pPr>
      <w:spacing w:lineRule="auto" w:line="276" w:before="0" w:after="140"/>
    </w:pPr>
    <w:rPr/>
  </w:style>
  <w:style w:type="paragraph" w:styleId="List">
    <w:name w:val="List"/>
    <w:basedOn w:val="BodyText"/>
    <w:rsid w:val="00c86a98"/>
    <w:pPr/>
    <w:rPr>
      <w:rFonts w:cs="Arial"/>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Title">
    <w:name w:val="Title"/>
    <w:basedOn w:val="Normal"/>
    <w:next w:val="BodyText"/>
    <w:qFormat/>
    <w:rsid w:val="00f37cfb"/>
    <w:pPr>
      <w:keepNext w:val="true"/>
      <w:spacing w:before="240" w:after="120"/>
    </w:pPr>
    <w:rPr>
      <w:rFonts w:ascii="PT Sans" w:hAnsi="PT Sans" w:eastAsia="Tahoma" w:cs="Noto Sans Devanagari"/>
      <w:szCs w:val="28"/>
    </w:rPr>
  </w:style>
  <w:style w:type="paragraph" w:styleId="Caption1">
    <w:name w:val="caption1"/>
    <w:basedOn w:val="Normal"/>
    <w:qFormat/>
    <w:rsid w:val="00c86a98"/>
    <w:pPr>
      <w:suppressLineNumbers/>
      <w:spacing w:before="120" w:after="120"/>
    </w:pPr>
    <w:rPr>
      <w:rFonts w:cs="Arial"/>
      <w:i/>
      <w:iCs/>
      <w:sz w:val="24"/>
      <w:szCs w:val="24"/>
    </w:rPr>
  </w:style>
  <w:style w:type="paragraph" w:styleId="Indexheading">
    <w:name w:val="index heading"/>
    <w:basedOn w:val="Normal"/>
    <w:qFormat/>
    <w:rsid w:val="00f37cfb"/>
    <w:pPr>
      <w:suppressLineNumbers/>
    </w:pPr>
    <w:rPr>
      <w:rFonts w:ascii="PT Sans" w:hAnsi="PT Sans" w:cs="Noto Sans Devanagari"/>
    </w:rPr>
  </w:style>
  <w:style w:type="paragraph" w:styleId="1" w:customStyle="1">
    <w:name w:val="Заголовок1"/>
    <w:basedOn w:val="Normal"/>
    <w:next w:val="BodyText"/>
    <w:qFormat/>
    <w:rsid w:val="00c86a98"/>
    <w:pPr>
      <w:keepNext w:val="true"/>
      <w:spacing w:before="240" w:after="120"/>
    </w:pPr>
    <w:rPr>
      <w:rFonts w:ascii="Liberation Sans" w:hAnsi="Liberation Sans" w:eastAsia="Microsoft YaHei" w:cs="Arial"/>
      <w:szCs w:val="28"/>
    </w:rPr>
  </w:style>
  <w:style w:type="paragraph" w:styleId="11" w:customStyle="1">
    <w:name w:val="Указатель1"/>
    <w:basedOn w:val="Normal"/>
    <w:qFormat/>
    <w:rsid w:val="00c86a98"/>
    <w:pPr>
      <w:suppressLineNumbers/>
    </w:pPr>
    <w:rPr>
      <w:rFonts w:cs="Arial"/>
    </w:rPr>
  </w:style>
  <w:style w:type="paragraph" w:styleId="BalloonText">
    <w:name w:val="Balloon Text"/>
    <w:basedOn w:val="Normal"/>
    <w:uiPriority w:val="99"/>
    <w:semiHidden/>
    <w:unhideWhenUsed/>
    <w:qFormat/>
    <w:rsid w:val="00f41efa"/>
    <w:pPr/>
    <w:rPr>
      <w:rFonts w:ascii="Tahoma" w:hAnsi="Tahoma" w:cs="Tahoma"/>
      <w:sz w:val="16"/>
      <w:szCs w:val="16"/>
    </w:rPr>
  </w:style>
  <w:style w:type="paragraph" w:styleId="Style18" w:customStyle="1">
    <w:name w:val="Верхний и нижний колонтитулы"/>
    <w:basedOn w:val="Normal"/>
    <w:qFormat/>
    <w:rsid w:val="00f37cfb"/>
    <w:pPr/>
    <w:rPr/>
  </w:style>
  <w:style w:type="paragraph" w:styleId="Style19">
    <w:name w:val="Колонтитул"/>
    <w:basedOn w:val="Normal"/>
    <w:qFormat/>
    <w:pPr/>
    <w:rPr/>
  </w:style>
  <w:style w:type="paragraph" w:styleId="Header">
    <w:name w:val="Header"/>
    <w:basedOn w:val="Normal"/>
    <w:uiPriority w:val="99"/>
    <w:unhideWhenUsed/>
    <w:rsid w:val="00893d93"/>
    <w:pPr>
      <w:tabs>
        <w:tab w:val="clear" w:pos="708"/>
        <w:tab w:val="center" w:pos="4677" w:leader="none"/>
        <w:tab w:val="right" w:pos="9355" w:leader="none"/>
      </w:tabs>
    </w:pPr>
    <w:rPr/>
  </w:style>
  <w:style w:type="paragraph" w:styleId="Footer">
    <w:name w:val="Footer"/>
    <w:basedOn w:val="Normal"/>
    <w:unhideWhenUsed/>
    <w:rsid w:val="00893d93"/>
    <w:pPr>
      <w:tabs>
        <w:tab w:val="clear" w:pos="708"/>
        <w:tab w:val="center" w:pos="4677" w:leader="none"/>
        <w:tab w:val="right" w:pos="9355" w:leader="none"/>
      </w:tabs>
    </w:pPr>
    <w:rPr/>
  </w:style>
  <w:style w:type="paragraph" w:styleId="12" w:customStyle="1">
    <w:name w:val="Обычный1"/>
    <w:qFormat/>
    <w:rsid w:val="00617104"/>
    <w:pPr>
      <w:widowControl w:val="false"/>
      <w:suppressAutoHyphens w:val="true"/>
      <w:bidi w:val="0"/>
      <w:spacing w:before="0" w:after="0"/>
      <w:jc w:val="left"/>
    </w:pPr>
    <w:rPr>
      <w:rFonts w:ascii="Times New Roman" w:hAnsi="Times New Roman" w:eastAsia="Times New Roman" w:cs="Times New Roman"/>
      <w:color w:val="auto"/>
      <w:kern w:val="0"/>
      <w:sz w:val="28"/>
      <w:szCs w:val="20"/>
      <w:lang w:val="ru-RU" w:eastAsia="ru-RU" w:bidi="ar-SA"/>
    </w:rPr>
  </w:style>
  <w:style w:type="paragraph" w:styleId="ListParagraph">
    <w:name w:val="List Paragraph"/>
    <w:basedOn w:val="Normal"/>
    <w:qFormat/>
    <w:rsid w:val="000f6f76"/>
    <w:pPr>
      <w:spacing w:before="0" w:after="0"/>
      <w:ind w:left="720"/>
      <w:contextualSpacing/>
    </w:pPr>
    <w:rPr/>
  </w:style>
  <w:style w:type="paragraph" w:styleId="Style20" w:customStyle="1">
    <w:name w:val="Содержимое таблицы"/>
    <w:basedOn w:val="Normal"/>
    <w:qFormat/>
    <w:pPr>
      <w:suppressLineNumbers/>
    </w:pPr>
    <w:rPr/>
  </w:style>
  <w:style w:type="paragraph" w:styleId="Style21" w:customStyle="1">
    <w:name w:val="Заголовок таблицы"/>
    <w:basedOn w:val="Style20"/>
    <w:qFormat/>
    <w:pPr>
      <w:jc w:val="center"/>
    </w:pPr>
    <w:rPr>
      <w:b/>
      <w:bCs/>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ea1e66"/>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258</TotalTime>
  <Application>LibreOffice/7.6.7.2$Linux_X86_64 LibreOffice_project/60$Build-2</Application>
  <AppVersion>15.0000</AppVersion>
  <Pages>2</Pages>
  <Words>597</Words>
  <Characters>4508</Characters>
  <CharactersWithSpaces>5089</CharactersWithSpaces>
  <Paragraphs>25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2025-02-21T12:18:00Z</dcterms:created>
  <dc:creator>Microsoft Office User</dc:creator>
  <dc:description/>
  <dc:language>ru-RU</dc:language>
  <cp:lastModifiedBy/>
  <cp:lastPrinted>2025-03-26T10:16:47Z</cp:lastPrinted>
  <dcterms:modified xsi:type="dcterms:W3CDTF">2025-03-26T10:17:07Z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